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85EE9" w14:textId="2C2B00C3" w:rsidR="00883395" w:rsidRDefault="00883395"/>
    <w:p w14:paraId="01979CEF" w14:textId="77777777" w:rsidR="00CC3791" w:rsidRPr="00CC3791" w:rsidRDefault="00CC3791" w:rsidP="00CC3791">
      <w:pPr>
        <w:jc w:val="center"/>
        <w:rPr>
          <w:b/>
          <w:bCs/>
        </w:rPr>
      </w:pPr>
      <w:r w:rsidRPr="00CC3791">
        <w:rPr>
          <w:b/>
          <w:bCs/>
        </w:rPr>
        <w:t xml:space="preserve">2020-21 Pre-Budget </w:t>
      </w:r>
    </w:p>
    <w:p w14:paraId="08C8FA1B" w14:textId="6897837B" w:rsidR="00CC3791" w:rsidRPr="00CC3791" w:rsidRDefault="00CC3791" w:rsidP="00CC3791">
      <w:pPr>
        <w:jc w:val="center"/>
        <w:rPr>
          <w:b/>
          <w:bCs/>
        </w:rPr>
      </w:pPr>
      <w:r w:rsidRPr="00CC3791">
        <w:rPr>
          <w:b/>
          <w:bCs/>
        </w:rPr>
        <w:t>Submission by</w:t>
      </w:r>
    </w:p>
    <w:p w14:paraId="179BF435" w14:textId="50A34C63" w:rsidR="00CC3791" w:rsidRDefault="00CC3791" w:rsidP="00CC3791">
      <w:pPr>
        <w:jc w:val="center"/>
        <w:rPr>
          <w:b/>
          <w:bCs/>
        </w:rPr>
      </w:pPr>
      <w:r w:rsidRPr="00CC3791">
        <w:rPr>
          <w:b/>
          <w:bCs/>
        </w:rPr>
        <w:t>Fundraising Institute Australia</w:t>
      </w:r>
    </w:p>
    <w:p w14:paraId="23B66056" w14:textId="269A8C13" w:rsidR="00CC3791" w:rsidRDefault="00CC3791" w:rsidP="00CC3791">
      <w:pPr>
        <w:jc w:val="center"/>
        <w:rPr>
          <w:b/>
          <w:bCs/>
        </w:rPr>
      </w:pPr>
    </w:p>
    <w:p w14:paraId="11FC7DA9" w14:textId="1C4B5154" w:rsidR="00CC3791" w:rsidRDefault="00CC3791" w:rsidP="00CC3791">
      <w:pPr>
        <w:jc w:val="center"/>
        <w:rPr>
          <w:b/>
          <w:bCs/>
        </w:rPr>
      </w:pPr>
      <w:r>
        <w:rPr>
          <w:b/>
          <w:bCs/>
        </w:rPr>
        <w:t>Executive Summary</w:t>
      </w:r>
    </w:p>
    <w:p w14:paraId="107BB229" w14:textId="746E9849" w:rsidR="00CC3791" w:rsidRDefault="00CC3791" w:rsidP="00CC3791">
      <w:pPr>
        <w:jc w:val="center"/>
        <w:rPr>
          <w:b/>
          <w:bCs/>
        </w:rPr>
      </w:pPr>
    </w:p>
    <w:p w14:paraId="51D5125B" w14:textId="28D44E10" w:rsidR="00CC3791" w:rsidRDefault="008770C4" w:rsidP="00CC3791">
      <w:pPr>
        <w:rPr>
          <w:b/>
          <w:bCs/>
        </w:rPr>
      </w:pPr>
      <w:r>
        <w:rPr>
          <w:b/>
          <w:bCs/>
        </w:rPr>
        <w:t xml:space="preserve">Non-for-profit </w:t>
      </w:r>
      <w:r w:rsidR="00CC3791">
        <w:rPr>
          <w:b/>
          <w:bCs/>
        </w:rPr>
        <w:t>Digital Grants</w:t>
      </w:r>
      <w:r>
        <w:rPr>
          <w:b/>
          <w:bCs/>
        </w:rPr>
        <w:t xml:space="preserve"> Fund</w:t>
      </w:r>
    </w:p>
    <w:p w14:paraId="744C7319" w14:textId="16D88D1C" w:rsidR="00CC3791" w:rsidRPr="004645C4" w:rsidRDefault="004645C4" w:rsidP="00CC3791">
      <w:r>
        <w:t xml:space="preserve">Digital grants </w:t>
      </w:r>
      <w:r w:rsidR="004E7D27">
        <w:t xml:space="preserve">programs can assist charities to access digital technologies and services to help them work smarter, engage with the </w:t>
      </w:r>
      <w:r w:rsidR="009659FA">
        <w:t xml:space="preserve">global and local </w:t>
      </w:r>
      <w:proofErr w:type="gramStart"/>
      <w:r w:rsidR="009659FA">
        <w:t>economy</w:t>
      </w:r>
      <w:proofErr w:type="gramEnd"/>
      <w:r w:rsidR="009659FA">
        <w:t xml:space="preserve"> and make the most of online opportunities arising from digital disruption</w:t>
      </w:r>
    </w:p>
    <w:p w14:paraId="7FAF96A3" w14:textId="629A9591" w:rsidR="00CC3791" w:rsidRDefault="00CC3791" w:rsidP="00CC3791">
      <w:pPr>
        <w:rPr>
          <w:b/>
          <w:bCs/>
        </w:rPr>
      </w:pPr>
      <w:r>
        <w:rPr>
          <w:b/>
          <w:bCs/>
        </w:rPr>
        <w:t>Mergers and Acquisitions</w:t>
      </w:r>
      <w:r w:rsidR="008770C4">
        <w:rPr>
          <w:b/>
          <w:bCs/>
        </w:rPr>
        <w:t xml:space="preserve"> Fund</w:t>
      </w:r>
    </w:p>
    <w:p w14:paraId="67945757" w14:textId="77777777" w:rsidR="00771237" w:rsidRDefault="00771237" w:rsidP="00771237">
      <w:r>
        <w:t>During a recent survey of its members FIA can predict a rise in the numbers of mergers and acquisitions within the charitable sector in 2020 - 2022. Whether out of necessity or a desire to better position an organisations capability to deliver impact on the issue that it has been designed to address, these mergers and acquisitions are an opportunity to create a foundation for strategic partnership ecosystems.</w:t>
      </w:r>
    </w:p>
    <w:p w14:paraId="317F9931" w14:textId="72C1A600" w:rsidR="00CC3791" w:rsidRDefault="00771237" w:rsidP="00CC3791">
      <w:r>
        <w:t>FIA has found there to be a variety of underlying motivators which lead to mergers and acquisitions in the next 1-2 years.</w:t>
      </w:r>
      <w:r w:rsidR="00D07BD7">
        <w:t xml:space="preserve"> </w:t>
      </w:r>
    </w:p>
    <w:p w14:paraId="0DBEBA00" w14:textId="640CFB10" w:rsidR="008770C4" w:rsidRPr="008770C4" w:rsidRDefault="008770C4" w:rsidP="00CC3791">
      <w:pPr>
        <w:rPr>
          <w:b/>
          <w:bCs/>
        </w:rPr>
      </w:pPr>
      <w:r w:rsidRPr="008770C4">
        <w:rPr>
          <w:b/>
          <w:bCs/>
        </w:rPr>
        <w:t>On-going Reform</w:t>
      </w:r>
      <w:r w:rsidR="00B57A58">
        <w:rPr>
          <w:b/>
          <w:bCs/>
        </w:rPr>
        <w:t xml:space="preserve"> (Harmonisation)</w:t>
      </w:r>
    </w:p>
    <w:p w14:paraId="3F17DA0E" w14:textId="11152860" w:rsidR="008770C4" w:rsidRDefault="008770C4" w:rsidP="00CC3791">
      <w:pPr>
        <w:rPr>
          <w:b/>
          <w:bCs/>
        </w:rPr>
      </w:pPr>
      <w:r>
        <w:t xml:space="preserve">The government should show stronger leadership on regulatory reform. In the wake of the COVID-19 outcome, policy makers must ensure new entrants are subject to the same laws and regulations as incumbents. As the same time, care must be taken to ensure that regulation encourages innovation, </w:t>
      </w:r>
      <w:proofErr w:type="gramStart"/>
      <w:r>
        <w:t>effectiveness</w:t>
      </w:r>
      <w:proofErr w:type="gramEnd"/>
      <w:r>
        <w:t xml:space="preserve"> and efficiency, while supporting the public good.</w:t>
      </w:r>
    </w:p>
    <w:p w14:paraId="19EEF300" w14:textId="77777777" w:rsidR="008770C4" w:rsidRDefault="008770C4" w:rsidP="00CC3791">
      <w:pPr>
        <w:rPr>
          <w:b/>
          <w:bCs/>
        </w:rPr>
      </w:pPr>
    </w:p>
    <w:p w14:paraId="74CC7191" w14:textId="77777777" w:rsidR="00B57A58" w:rsidRPr="00C43C33" w:rsidRDefault="00B57A58" w:rsidP="00B57A58">
      <w:pPr>
        <w:rPr>
          <w:b/>
          <w:bCs/>
          <w:u w:val="single"/>
        </w:rPr>
      </w:pPr>
      <w:r w:rsidRPr="00C43C33">
        <w:rPr>
          <w:b/>
          <w:bCs/>
          <w:u w:val="single"/>
        </w:rPr>
        <w:t xml:space="preserve">Establish a National Charities (Fundraising) </w:t>
      </w:r>
      <w:commentRangeStart w:id="0"/>
      <w:r w:rsidRPr="00C43C33">
        <w:rPr>
          <w:b/>
          <w:bCs/>
          <w:u w:val="single"/>
        </w:rPr>
        <w:t>Apprenticeship</w:t>
      </w:r>
      <w:commentRangeEnd w:id="0"/>
      <w:r>
        <w:rPr>
          <w:rStyle w:val="CommentReference"/>
        </w:rPr>
        <w:commentReference w:id="0"/>
      </w:r>
      <w:r w:rsidRPr="00C43C33">
        <w:rPr>
          <w:b/>
          <w:bCs/>
          <w:u w:val="single"/>
        </w:rPr>
        <w:t xml:space="preserve"> </w:t>
      </w:r>
    </w:p>
    <w:p w14:paraId="57C9FA1D" w14:textId="77777777" w:rsidR="00B57A58" w:rsidRDefault="00B57A58" w:rsidP="00B57A58">
      <w:r>
        <w:t xml:space="preserve">The FIA has been a strong advocate for a national apprenticeship for Fundraising since the establish of the Skilling Australians Fund (SAF). FIA believes that the VET sector will be key to future proofing our economy. FIA believe it is not </w:t>
      </w:r>
      <w:proofErr w:type="spellStart"/>
      <w:r>
        <w:t>to</w:t>
      </w:r>
      <w:proofErr w:type="spellEnd"/>
      <w:r>
        <w:t xml:space="preserve"> late to start future proofing the charity sector </w:t>
      </w:r>
    </w:p>
    <w:p w14:paraId="766666A1" w14:textId="77777777" w:rsidR="008770C4" w:rsidRDefault="008770C4" w:rsidP="00CC3791">
      <w:pPr>
        <w:rPr>
          <w:b/>
          <w:bCs/>
        </w:rPr>
      </w:pPr>
    </w:p>
    <w:p w14:paraId="200D3C9B" w14:textId="77777777" w:rsidR="008770C4" w:rsidRDefault="008770C4" w:rsidP="00CC3791">
      <w:pPr>
        <w:rPr>
          <w:b/>
          <w:bCs/>
        </w:rPr>
      </w:pPr>
    </w:p>
    <w:p w14:paraId="04ED0DF5" w14:textId="77777777" w:rsidR="008770C4" w:rsidRDefault="008770C4" w:rsidP="00CC3791">
      <w:pPr>
        <w:rPr>
          <w:b/>
          <w:bCs/>
        </w:rPr>
      </w:pPr>
    </w:p>
    <w:p w14:paraId="63BDEBEB" w14:textId="77777777" w:rsidR="008770C4" w:rsidRDefault="008770C4" w:rsidP="00CC3791">
      <w:pPr>
        <w:rPr>
          <w:b/>
          <w:bCs/>
        </w:rPr>
      </w:pPr>
    </w:p>
    <w:p w14:paraId="7A1234C2" w14:textId="77777777" w:rsidR="008770C4" w:rsidRDefault="008770C4" w:rsidP="00CC3791">
      <w:pPr>
        <w:rPr>
          <w:b/>
          <w:bCs/>
        </w:rPr>
      </w:pPr>
    </w:p>
    <w:p w14:paraId="276CC432" w14:textId="081072D6" w:rsidR="00CC3791" w:rsidRDefault="00CC3791" w:rsidP="00CC3791">
      <w:pPr>
        <w:rPr>
          <w:b/>
          <w:bCs/>
        </w:rPr>
      </w:pPr>
      <w:r>
        <w:rPr>
          <w:b/>
          <w:bCs/>
        </w:rPr>
        <w:lastRenderedPageBreak/>
        <w:t>About FIA</w:t>
      </w:r>
    </w:p>
    <w:p w14:paraId="04EDECA7" w14:textId="6C69FDF5" w:rsidR="00CC3791" w:rsidRDefault="00CC3791" w:rsidP="00D07BD7">
      <w:r w:rsidRPr="00A60DC4">
        <w:t>FIA is Australia’s national association for professional fundraising. It has over 1200 members who are charities, NFPs, suppliers of fundraising services and individual fundraising professionals. Most major registered charities are FIA members, accounting for more than 80 per cent of the nearly $9.9</w:t>
      </w:r>
      <w:r w:rsidRPr="00A60DC4">
        <w:rPr>
          <w:rStyle w:val="FootnoteReference"/>
        </w:rPr>
        <w:footnoteReference w:id="1"/>
      </w:r>
      <w:r w:rsidRPr="00A60DC4">
        <w:t xml:space="preserve"> billion donated by Australians each year. </w:t>
      </w:r>
    </w:p>
    <w:p w14:paraId="1A46A186" w14:textId="22AF471B" w:rsidR="002B7F92" w:rsidRDefault="002B7F92" w:rsidP="00CC3791">
      <w:pPr>
        <w:jc w:val="center"/>
      </w:pPr>
    </w:p>
    <w:p w14:paraId="39479DD7" w14:textId="0CC9D916" w:rsidR="002B7F92" w:rsidRDefault="000B02E9" w:rsidP="004D07BC">
      <w:pPr>
        <w:rPr>
          <w:b/>
          <w:bCs/>
        </w:rPr>
      </w:pPr>
      <w:r w:rsidRPr="004B0240">
        <w:rPr>
          <w:b/>
          <w:bCs/>
        </w:rPr>
        <w:t>Policy Recommendations</w:t>
      </w:r>
    </w:p>
    <w:p w14:paraId="4591A5DC" w14:textId="77777777" w:rsidR="00223CF4" w:rsidRPr="00334880" w:rsidRDefault="00223CF4" w:rsidP="00223CF4">
      <w:pPr>
        <w:rPr>
          <w:b/>
          <w:bCs/>
          <w:u w:val="single"/>
        </w:rPr>
      </w:pPr>
      <w:r w:rsidRPr="00334880">
        <w:rPr>
          <w:b/>
          <w:bCs/>
          <w:u w:val="single"/>
        </w:rPr>
        <w:t>Ongoing regulatory reform</w:t>
      </w:r>
    </w:p>
    <w:p w14:paraId="7F94B6FE" w14:textId="66A898E8" w:rsidR="00223CF4" w:rsidRDefault="00223CF4" w:rsidP="00223CF4">
      <w:r>
        <w:t>The government should show strong</w:t>
      </w:r>
      <w:r w:rsidR="008C09FF">
        <w:t>er</w:t>
      </w:r>
      <w:r>
        <w:t xml:space="preserve"> leadership on regulatory reform. In the wake of the COVID-19 outcome, policy makers must ensure new entrants are subject to the same laws and regulations as incumbents. As the same time, care must be taken to ensure that regulation encourages innovation, </w:t>
      </w:r>
      <w:proofErr w:type="gramStart"/>
      <w:r>
        <w:t>effectiveness</w:t>
      </w:r>
      <w:proofErr w:type="gramEnd"/>
      <w:r>
        <w:t xml:space="preserve"> and efficiency, while supporting the public good. Regulations must remain fit-for-purpose and take account of changes in business models and the impact, real and potential, on the provision of goods and services. </w:t>
      </w:r>
    </w:p>
    <w:p w14:paraId="073D38D2" w14:textId="5F2C95E7" w:rsidR="00223CF4" w:rsidRDefault="00223CF4" w:rsidP="00223CF4">
      <w:r>
        <w:t xml:space="preserve">Key priorities in relation to reducing </w:t>
      </w:r>
      <w:r w:rsidR="00D04607">
        <w:t>red tape</w:t>
      </w:r>
      <w:r>
        <w:t xml:space="preserve"> for charities include:</w:t>
      </w:r>
    </w:p>
    <w:p w14:paraId="52B97E38" w14:textId="77777777" w:rsidR="00223CF4" w:rsidRDefault="00223CF4" w:rsidP="00223CF4">
      <w:pPr>
        <w:pStyle w:val="ListParagraph"/>
        <w:numPr>
          <w:ilvl w:val="0"/>
          <w:numId w:val="2"/>
        </w:numPr>
      </w:pPr>
      <w:r>
        <w:t>Harmonisation – Regulations should be harmonised across the state and territories where relevant. This should be addressed through the First Ministers process as a matter of urgency.</w:t>
      </w:r>
    </w:p>
    <w:p w14:paraId="312C1172" w14:textId="77777777" w:rsidR="00223CF4" w:rsidRDefault="00223CF4" w:rsidP="00223CF4">
      <w:pPr>
        <w:pStyle w:val="ListParagraph"/>
        <w:numPr>
          <w:ilvl w:val="0"/>
          <w:numId w:val="2"/>
        </w:numPr>
      </w:pPr>
      <w:r>
        <w:t xml:space="preserve">Regulation must be fit for purpose – This should be determined through industry liaison. Australian Charities tell us of instances where they </w:t>
      </w:r>
      <w:proofErr w:type="gramStart"/>
      <w:r>
        <w:t>have to</w:t>
      </w:r>
      <w:proofErr w:type="gramEnd"/>
      <w:r>
        <w:t xml:space="preserve"> comply with regulations that are not relevant to their industry. As part of the ‘First Ministers’ process a national standard could be set.</w:t>
      </w:r>
    </w:p>
    <w:p w14:paraId="02A619DC" w14:textId="77777777" w:rsidR="00223CF4" w:rsidRDefault="00223CF4" w:rsidP="00223CF4">
      <w:pPr>
        <w:pStyle w:val="ListParagraph"/>
        <w:numPr>
          <w:ilvl w:val="0"/>
          <w:numId w:val="2"/>
        </w:numPr>
      </w:pPr>
      <w:r>
        <w:t xml:space="preserve">Regulation must be active, flexible, and nimble. Regulations </w:t>
      </w:r>
      <w:proofErr w:type="spellStart"/>
      <w:r>
        <w:t>adnd</w:t>
      </w:r>
      <w:proofErr w:type="spellEnd"/>
      <w:r>
        <w:t xml:space="preserve"> those who administer them must be able to change rapidly as circumstances demand. </w:t>
      </w:r>
    </w:p>
    <w:p w14:paraId="393ABF6D" w14:textId="77777777" w:rsidR="00223CF4" w:rsidRDefault="00223CF4" w:rsidP="00223CF4">
      <w:pPr>
        <w:pStyle w:val="ListParagraph"/>
        <w:numPr>
          <w:ilvl w:val="0"/>
          <w:numId w:val="2"/>
        </w:numPr>
      </w:pPr>
      <w:r>
        <w:t>Greater use of technology should be utilised to identify and simplify regulation and reduce red tape. No licence expiration date is a good example of how technology can be used to reduce red tape.</w:t>
      </w:r>
    </w:p>
    <w:p w14:paraId="1DCE7C6A" w14:textId="77777777" w:rsidR="00223CF4" w:rsidRDefault="00223CF4" w:rsidP="00223CF4">
      <w:r>
        <w:t xml:space="preserve">Strong Leadership on a regulatory reform agenda is crucial. The Government has previously championed and raise the profile of red tape reform across government through initiatives such as red tape repeal day, establishing deregulation units in each </w:t>
      </w:r>
      <w:proofErr w:type="gramStart"/>
      <w:r>
        <w:t>department;</w:t>
      </w:r>
      <w:proofErr w:type="gramEnd"/>
    </w:p>
    <w:p w14:paraId="1587A163" w14:textId="77777777" w:rsidR="00223CF4" w:rsidRDefault="00223CF4" w:rsidP="00223CF4">
      <w:r>
        <w:t>Policy Recommendation:</w:t>
      </w:r>
    </w:p>
    <w:p w14:paraId="0F471342" w14:textId="77777777" w:rsidR="00223CF4" w:rsidRDefault="00223CF4" w:rsidP="00223CF4">
      <w:pPr>
        <w:pStyle w:val="ListParagraph"/>
        <w:numPr>
          <w:ilvl w:val="0"/>
          <w:numId w:val="3"/>
        </w:numPr>
      </w:pPr>
      <w:r>
        <w:t>Lead on Whole of Sector Harmonisation reform</w:t>
      </w:r>
    </w:p>
    <w:p w14:paraId="064DD44F" w14:textId="277EFF73" w:rsidR="002F0D93" w:rsidRDefault="002F0D93" w:rsidP="004D07BC">
      <w:pPr>
        <w:rPr>
          <w:b/>
          <w:bCs/>
        </w:rPr>
      </w:pPr>
    </w:p>
    <w:p w14:paraId="4E1A93C0" w14:textId="6CA316B2" w:rsidR="008770C4" w:rsidRDefault="008770C4" w:rsidP="004D07BC">
      <w:pPr>
        <w:rPr>
          <w:b/>
          <w:bCs/>
        </w:rPr>
      </w:pPr>
    </w:p>
    <w:p w14:paraId="47AAA4B9" w14:textId="77777777" w:rsidR="008770C4" w:rsidRDefault="008770C4" w:rsidP="004D07BC">
      <w:pPr>
        <w:rPr>
          <w:b/>
          <w:bCs/>
        </w:rPr>
      </w:pPr>
    </w:p>
    <w:p w14:paraId="3D200564" w14:textId="76D9AD8B" w:rsidR="002F0D93" w:rsidRPr="004B0240" w:rsidRDefault="002109A1" w:rsidP="004D07BC">
      <w:pPr>
        <w:rPr>
          <w:b/>
          <w:bCs/>
        </w:rPr>
      </w:pPr>
      <w:r>
        <w:rPr>
          <w:b/>
          <w:bCs/>
        </w:rPr>
        <w:lastRenderedPageBreak/>
        <w:t xml:space="preserve">Establish a </w:t>
      </w:r>
      <w:r w:rsidR="002F0D93">
        <w:rPr>
          <w:b/>
          <w:bCs/>
        </w:rPr>
        <w:t>Mergers and Acquisitions (M&amp;A) Technical fund</w:t>
      </w:r>
    </w:p>
    <w:p w14:paraId="6644AF8E" w14:textId="733A9C63" w:rsidR="000B02E9" w:rsidRDefault="00161723" w:rsidP="004D07BC">
      <w:r>
        <w:t xml:space="preserve">During a recent survey of its members FIA </w:t>
      </w:r>
      <w:r w:rsidR="009E1865">
        <w:t>can predict a rise in the numbers of mergers and acquisitions within the charitable sector in 2020</w:t>
      </w:r>
      <w:r w:rsidR="00F96BC8">
        <w:t xml:space="preserve"> - 20</w:t>
      </w:r>
      <w:r w:rsidR="009E1865">
        <w:t>22</w:t>
      </w:r>
      <w:r w:rsidR="00BE4D1D">
        <w:t>. Whether out of necessity or a desire to better position an organisations capability to deliver impact on the issue that it has been</w:t>
      </w:r>
      <w:r w:rsidR="00A267D7">
        <w:t xml:space="preserve"> designed to address, these mergers and acquisitions are an opportunity to create a foundation</w:t>
      </w:r>
      <w:r w:rsidR="00AD291C">
        <w:t xml:space="preserve"> for strategic partnership ecosystems.</w:t>
      </w:r>
    </w:p>
    <w:p w14:paraId="233411A6" w14:textId="45B16BAF" w:rsidR="00AD291C" w:rsidRDefault="00AD291C" w:rsidP="004D07BC">
      <w:r>
        <w:t>FIA has found there to be a variety of underlying motivators which lead to mergers and acquisitions</w:t>
      </w:r>
      <w:r w:rsidR="00771237">
        <w:t xml:space="preserve"> in the next 1-2 years.</w:t>
      </w:r>
    </w:p>
    <w:p w14:paraId="53B6373F" w14:textId="77777777" w:rsidR="00B03F7B" w:rsidRDefault="00AE4D1F" w:rsidP="00B03F7B">
      <w:r w:rsidRPr="00B03F7B">
        <w:rPr>
          <w:b/>
          <w:bCs/>
        </w:rPr>
        <w:t>Shared Value Creation</w:t>
      </w:r>
    </w:p>
    <w:p w14:paraId="3A70307F" w14:textId="7815BB8F" w:rsidR="00AE4D1F" w:rsidRDefault="00AE4D1F" w:rsidP="00B03F7B">
      <w:r>
        <w:t xml:space="preserve">The amalgamation of two </w:t>
      </w:r>
      <w:r w:rsidR="00D459B8">
        <w:t>charities typically results in synergies that increase the wealth of Donors</w:t>
      </w:r>
      <w:r w:rsidR="008A28E3">
        <w:t xml:space="preserve">. </w:t>
      </w:r>
    </w:p>
    <w:p w14:paraId="05A33697" w14:textId="0B00E64E" w:rsidR="0001429C" w:rsidRDefault="0001429C" w:rsidP="00B03F7B">
      <w:r w:rsidRPr="00B03F7B">
        <w:rPr>
          <w:b/>
          <w:bCs/>
        </w:rPr>
        <w:t>Revenue Synergies</w:t>
      </w:r>
      <w:r w:rsidR="00BC0F15">
        <w:t xml:space="preserve">: Involve the charities revenue generating abilities through attributes such as market expansion, product diversity, </w:t>
      </w:r>
      <w:proofErr w:type="gramStart"/>
      <w:r w:rsidR="00BC0F15">
        <w:t>research</w:t>
      </w:r>
      <w:proofErr w:type="gramEnd"/>
      <w:r w:rsidR="00BC0F15">
        <w:t xml:space="preserve"> and Development</w:t>
      </w:r>
      <w:r w:rsidR="005948FB">
        <w:t xml:space="preserve">. A merger within a charity </w:t>
      </w:r>
      <w:proofErr w:type="spellStart"/>
      <w:r w:rsidR="005948FB">
        <w:t>cn</w:t>
      </w:r>
      <w:proofErr w:type="spellEnd"/>
      <w:r w:rsidR="005948FB">
        <w:t xml:space="preserve"> improve its ability to generate revenue by opening new donor relationships and presenting a broader and potentially more compelling value proposition to donors.</w:t>
      </w:r>
    </w:p>
    <w:p w14:paraId="3C8FF15D" w14:textId="0AFD2C3E" w:rsidR="005948FB" w:rsidRDefault="005948FB" w:rsidP="00B03F7B">
      <w:r w:rsidRPr="00B03F7B">
        <w:rPr>
          <w:b/>
          <w:bCs/>
        </w:rPr>
        <w:t>Cost synergies</w:t>
      </w:r>
      <w:r>
        <w:t>:</w:t>
      </w:r>
      <w:r w:rsidR="00D652C9">
        <w:t xml:space="preserve"> </w:t>
      </w:r>
      <w:r w:rsidR="00B03F7B">
        <w:t>Merger</w:t>
      </w:r>
      <w:r w:rsidR="00D652C9">
        <w:t xml:space="preserve"> generally result in economies of scale and access to improved processes/technologies which improve cost structure of the merged entity. This is modelled in charity mergers as well, where efficiencies can</w:t>
      </w:r>
      <w:r w:rsidR="006D37E4">
        <w:t xml:space="preserve"> be found through combining the processes, </w:t>
      </w:r>
      <w:proofErr w:type="gramStart"/>
      <w:r w:rsidR="006D37E4">
        <w:t>tools</w:t>
      </w:r>
      <w:proofErr w:type="gramEnd"/>
      <w:r w:rsidR="006D37E4">
        <w:t xml:space="preserve"> and assets of two independent charities.</w:t>
      </w:r>
    </w:p>
    <w:p w14:paraId="708CB0CF" w14:textId="3893C583" w:rsidR="006D37E4" w:rsidRDefault="006D37E4" w:rsidP="00B03F7B">
      <w:r w:rsidRPr="00B03F7B">
        <w:rPr>
          <w:b/>
          <w:bCs/>
        </w:rPr>
        <w:t>Diversification</w:t>
      </w:r>
      <w:r w:rsidR="00B03F7B">
        <w:br/>
      </w:r>
      <w:r w:rsidR="00566391">
        <w:t>FIA Believes</w:t>
      </w:r>
      <w:r w:rsidR="00240E20">
        <w:t xml:space="preserve"> that mergers can be increased by further assistance from</w:t>
      </w:r>
      <w:r w:rsidR="00F96BC8">
        <w:t xml:space="preserve"> Government</w:t>
      </w:r>
      <w:r w:rsidR="00456103">
        <w:t xml:space="preserve">. </w:t>
      </w:r>
      <w:r w:rsidR="004523FD">
        <w:t>Diversification will be a strong motiva</w:t>
      </w:r>
      <w:r w:rsidR="000E78DD">
        <w:t xml:space="preserve">tor in the charitable sector </w:t>
      </w:r>
      <w:r w:rsidR="00222551">
        <w:t>as this could allow for new and related service offerings to the stakeholders served by a charity along with increased impact of a successful program or intervention into new markets</w:t>
      </w:r>
    </w:p>
    <w:p w14:paraId="633FC7F8" w14:textId="77777777" w:rsidR="00B03F7B" w:rsidRDefault="001E7601" w:rsidP="00B03F7B">
      <w:r w:rsidRPr="00B03F7B">
        <w:rPr>
          <w:b/>
          <w:bCs/>
        </w:rPr>
        <w:t>Acquisition of assets</w:t>
      </w:r>
      <w:r>
        <w:t xml:space="preserve"> </w:t>
      </w:r>
    </w:p>
    <w:p w14:paraId="5EA2D746" w14:textId="40F98BFC" w:rsidR="008F0564" w:rsidRDefault="00B03F7B" w:rsidP="00B03F7B">
      <w:r>
        <w:t>Access</w:t>
      </w:r>
      <w:r w:rsidR="0079508E">
        <w:t xml:space="preserve"> to assets</w:t>
      </w:r>
      <w:r w:rsidR="009859DD">
        <w:t xml:space="preserve"> </w:t>
      </w:r>
      <w:r w:rsidR="001073AF">
        <w:t xml:space="preserve">such as owned technology is a strong motivator for mergers. This type if </w:t>
      </w:r>
      <w:r>
        <w:t>competitive</w:t>
      </w:r>
      <w:r w:rsidR="001073AF">
        <w:t xml:space="preserve"> advantage fuels growth in a </w:t>
      </w:r>
      <w:r w:rsidR="008770C4">
        <w:t>post-merger</w:t>
      </w:r>
      <w:r w:rsidR="001073AF">
        <w:t xml:space="preserve"> environment as the emerging entity </w:t>
      </w:r>
      <w:proofErr w:type="gramStart"/>
      <w:r w:rsidR="001073AF">
        <w:t>is able to</w:t>
      </w:r>
      <w:proofErr w:type="gramEnd"/>
      <w:r w:rsidR="001073AF">
        <w:t xml:space="preserve"> leap-frog what may otherwise be years of development.</w:t>
      </w:r>
      <w:r w:rsidR="009B067C">
        <w:t xml:space="preserve"> The charitable sec</w:t>
      </w:r>
      <w:r w:rsidR="00261710">
        <w:t xml:space="preserve">tors resources are constrained, accessing </w:t>
      </w:r>
      <w:r>
        <w:t>own</w:t>
      </w:r>
      <w:r w:rsidR="00261710">
        <w:t xml:space="preserve"> assets of another organisation</w:t>
      </w:r>
      <w:r w:rsidR="00A95F9D">
        <w:t xml:space="preserve"> to enable broader or deeper social impact is a mechanism to increase the return on investment in those assets. </w:t>
      </w:r>
    </w:p>
    <w:p w14:paraId="63084593" w14:textId="769C20CA" w:rsidR="001E7601" w:rsidRDefault="00A95F9D" w:rsidP="00B03F7B">
      <w:r>
        <w:t>Other drivers may includ</w:t>
      </w:r>
      <w:r w:rsidR="00527C0A">
        <w:t>e:</w:t>
      </w:r>
    </w:p>
    <w:p w14:paraId="2CF7A115" w14:textId="6789BD8D" w:rsidR="00527C0A" w:rsidRDefault="00527C0A" w:rsidP="00527C0A">
      <w:pPr>
        <w:pStyle w:val="ListParagraph"/>
        <w:numPr>
          <w:ilvl w:val="1"/>
          <w:numId w:val="4"/>
        </w:numPr>
      </w:pPr>
      <w:r>
        <w:t>Improved financial position</w:t>
      </w:r>
    </w:p>
    <w:p w14:paraId="2A39C389" w14:textId="1D394726" w:rsidR="00B03F7B" w:rsidRDefault="00B03F7B" w:rsidP="00527C0A">
      <w:pPr>
        <w:pStyle w:val="ListParagraph"/>
        <w:numPr>
          <w:ilvl w:val="1"/>
          <w:numId w:val="4"/>
        </w:numPr>
      </w:pPr>
      <w:r>
        <w:t>x</w:t>
      </w:r>
    </w:p>
    <w:p w14:paraId="77E8238A" w14:textId="756E31F2" w:rsidR="00527C0A" w:rsidRDefault="005D06DB" w:rsidP="00B03F7B">
      <w:r>
        <w:t xml:space="preserve">Mergers in the charitable sector occur with far less frequency than in the </w:t>
      </w:r>
      <w:r w:rsidR="00EB7A48">
        <w:t xml:space="preserve">for-profit sector. In 2017, 2 in 1,000 for profit organisations merged or went through </w:t>
      </w:r>
      <w:r w:rsidR="00B03F7B">
        <w:t>acquisition</w:t>
      </w:r>
      <w:r w:rsidR="00EB7A48">
        <w:t xml:space="preserve">. Comparatively, </w:t>
      </w:r>
      <w:r w:rsidR="001E7EAD">
        <w:t>10</w:t>
      </w:r>
      <w:r w:rsidR="00EB7A48">
        <w:t xml:space="preserve"> in </w:t>
      </w:r>
      <w:r w:rsidR="00B63EA1">
        <w:t>58,000</w:t>
      </w:r>
      <w:r w:rsidR="00EB7A48">
        <w:t xml:space="preserve"> charities merged or </w:t>
      </w:r>
      <w:r w:rsidR="00B63EA1">
        <w:t>amalgamated in 2017. Our prediction is this</w:t>
      </w:r>
      <w:r w:rsidR="009B0B8B">
        <w:t xml:space="preserve"> is set to change in the next 2 years for </w:t>
      </w:r>
      <w:proofErr w:type="gramStart"/>
      <w:r w:rsidR="009B0B8B">
        <w:t>a number of</w:t>
      </w:r>
      <w:proofErr w:type="gramEnd"/>
      <w:r w:rsidR="009B0B8B">
        <w:t xml:space="preserve"> reasons.</w:t>
      </w:r>
    </w:p>
    <w:p w14:paraId="2758FAA8" w14:textId="3FA7E484" w:rsidR="002B7F92" w:rsidRDefault="00FA714D" w:rsidP="00B03F7B">
      <w:r w:rsidRPr="002869D4">
        <w:rPr>
          <w:b/>
          <w:bCs/>
        </w:rPr>
        <w:t xml:space="preserve">Donor </w:t>
      </w:r>
      <w:r w:rsidR="002869D4" w:rsidRPr="002869D4">
        <w:rPr>
          <w:b/>
          <w:bCs/>
        </w:rPr>
        <w:t>Engagement</w:t>
      </w:r>
      <w:r>
        <w:br/>
        <w:t xml:space="preserve">Changes in </w:t>
      </w:r>
      <w:proofErr w:type="gramStart"/>
      <w:r>
        <w:t>donors</w:t>
      </w:r>
      <w:proofErr w:type="gramEnd"/>
      <w:r>
        <w:t xml:space="preserve"> trends have resulted in charities facing greater competition among one another. </w:t>
      </w:r>
      <w:r>
        <w:lastRenderedPageBreak/>
        <w:t xml:space="preserve">A </w:t>
      </w:r>
      <w:r w:rsidR="002869D4">
        <w:t>merger</w:t>
      </w:r>
      <w:r>
        <w:t xml:space="preserve"> of charities</w:t>
      </w:r>
      <w:r w:rsidR="00B34FCA">
        <w:t xml:space="preserve"> creates the ability to not only access a larger donor pool but the opportunity to tell a bigger story of impact and outcomes to drive future donor dollars.</w:t>
      </w:r>
    </w:p>
    <w:p w14:paraId="34EC9EA5" w14:textId="3F07AA4F" w:rsidR="00B34FCA" w:rsidRPr="002869D4" w:rsidRDefault="00012FB4" w:rsidP="00B03F7B">
      <w:pPr>
        <w:rPr>
          <w:b/>
          <w:bCs/>
        </w:rPr>
      </w:pPr>
      <w:r w:rsidRPr="002869D4">
        <w:rPr>
          <w:b/>
          <w:bCs/>
        </w:rPr>
        <w:t>Leveraging resources</w:t>
      </w:r>
    </w:p>
    <w:p w14:paraId="241D61E8" w14:textId="59BB2B47" w:rsidR="00012FB4" w:rsidRDefault="00012FB4" w:rsidP="00B03F7B">
      <w:r>
        <w:t xml:space="preserve">Charities are under constant scrutiny regarding their administrative fundraising costs as a percentage of total revenue. While charities do not prescribe to the notion that low administrative and fundraising costs equates to a </w:t>
      </w:r>
      <w:proofErr w:type="spellStart"/>
      <w:proofErr w:type="gramStart"/>
      <w:r>
        <w:t>well run</w:t>
      </w:r>
      <w:proofErr w:type="spellEnd"/>
      <w:proofErr w:type="gramEnd"/>
      <w:r>
        <w:t xml:space="preserve"> charity, the efficiency that can be </w:t>
      </w:r>
      <w:r w:rsidR="002869D4">
        <w:t>achieved</w:t>
      </w:r>
      <w:r>
        <w:t xml:space="preserve"> through mergers of backend systems should be an attractive value proposition for all charities. </w:t>
      </w:r>
    </w:p>
    <w:p w14:paraId="0F37F65D" w14:textId="26FE738A" w:rsidR="00012FB4" w:rsidRPr="002869D4" w:rsidRDefault="002869D4" w:rsidP="00B03F7B">
      <w:pPr>
        <w:rPr>
          <w:b/>
          <w:bCs/>
        </w:rPr>
      </w:pPr>
      <w:r w:rsidRPr="002869D4">
        <w:rPr>
          <w:b/>
          <w:bCs/>
        </w:rPr>
        <w:t>Meeting recipient needs</w:t>
      </w:r>
    </w:p>
    <w:p w14:paraId="0AA33413" w14:textId="34D34F28" w:rsidR="002869D4" w:rsidRDefault="00E905CF" w:rsidP="00B03F7B">
      <w:r>
        <w:t xml:space="preserve">Charities are continuing to expand their programs </w:t>
      </w:r>
      <w:proofErr w:type="gramStart"/>
      <w:r>
        <w:t>in order to</w:t>
      </w:r>
      <w:proofErr w:type="gramEnd"/>
      <w:r>
        <w:t xml:space="preserve"> meet recipient needs and donor desires. This expansion of programs can lead to increased duplicity in social purpose activities. Rather than building new programs independently, leveraging </w:t>
      </w:r>
      <w:r w:rsidR="002109A1">
        <w:t xml:space="preserve">the strength of another </w:t>
      </w:r>
      <w:r w:rsidR="008770C4">
        <w:t>charities</w:t>
      </w:r>
      <w:r w:rsidR="002109A1">
        <w:t xml:space="preserve"> expertise has the potential to not only deliver a superior product for a lower investment, it also has the potential to expand the impact of that new service through exposure to a larger </w:t>
      </w:r>
      <w:r w:rsidR="008770C4">
        <w:t>demographic</w:t>
      </w:r>
      <w:r w:rsidR="002109A1">
        <w:t>.</w:t>
      </w:r>
    </w:p>
    <w:p w14:paraId="2B23C288" w14:textId="0A156674" w:rsidR="002109A1" w:rsidRDefault="002109A1" w:rsidP="00B03F7B">
      <w:r>
        <w:t>Policy Recommendation</w:t>
      </w:r>
    </w:p>
    <w:p w14:paraId="72081F7E" w14:textId="470981CD" w:rsidR="002109A1" w:rsidRPr="00223CF4" w:rsidRDefault="002109A1" w:rsidP="002109A1">
      <w:pPr>
        <w:pStyle w:val="ListParagraph"/>
        <w:numPr>
          <w:ilvl w:val="0"/>
          <w:numId w:val="5"/>
        </w:numPr>
      </w:pPr>
      <w:r w:rsidRPr="00223CF4">
        <w:t>Establish a Mergers and Acquisitions (M&amp;A) Technical fund</w:t>
      </w:r>
    </w:p>
    <w:p w14:paraId="37E3809C" w14:textId="77777777" w:rsidR="00F070A2" w:rsidRDefault="00F070A2" w:rsidP="00CC3791">
      <w:pPr>
        <w:jc w:val="center"/>
      </w:pPr>
    </w:p>
    <w:p w14:paraId="50E7F4E9" w14:textId="1730419D" w:rsidR="00B929EB" w:rsidRPr="00C43C33" w:rsidRDefault="00B929EB" w:rsidP="00B929EB">
      <w:pPr>
        <w:rPr>
          <w:b/>
          <w:bCs/>
          <w:u w:val="single"/>
        </w:rPr>
      </w:pPr>
      <w:r w:rsidRPr="00C43C33">
        <w:rPr>
          <w:b/>
          <w:bCs/>
          <w:u w:val="single"/>
        </w:rPr>
        <w:t xml:space="preserve">Establish a National </w:t>
      </w:r>
      <w:r w:rsidR="00F50D75" w:rsidRPr="00C43C33">
        <w:rPr>
          <w:b/>
          <w:bCs/>
          <w:u w:val="single"/>
        </w:rPr>
        <w:t>Charities</w:t>
      </w:r>
      <w:r w:rsidR="003104DB" w:rsidRPr="00C43C33">
        <w:rPr>
          <w:b/>
          <w:bCs/>
          <w:u w:val="single"/>
        </w:rPr>
        <w:t xml:space="preserve"> (Fundraising)</w:t>
      </w:r>
      <w:r w:rsidR="00F50D75" w:rsidRPr="00C43C33">
        <w:rPr>
          <w:b/>
          <w:bCs/>
          <w:u w:val="single"/>
        </w:rPr>
        <w:t xml:space="preserve"> </w:t>
      </w:r>
      <w:commentRangeStart w:id="1"/>
      <w:r w:rsidR="00F50D75" w:rsidRPr="00C43C33">
        <w:rPr>
          <w:b/>
          <w:bCs/>
          <w:u w:val="single"/>
        </w:rPr>
        <w:t>Appre</w:t>
      </w:r>
      <w:r w:rsidR="00293C5B" w:rsidRPr="00C43C33">
        <w:rPr>
          <w:b/>
          <w:bCs/>
          <w:u w:val="single"/>
        </w:rPr>
        <w:t>nticeship</w:t>
      </w:r>
      <w:commentRangeEnd w:id="1"/>
      <w:r w:rsidR="001472C5">
        <w:rPr>
          <w:rStyle w:val="CommentReference"/>
        </w:rPr>
        <w:commentReference w:id="1"/>
      </w:r>
      <w:r w:rsidR="00D7366A" w:rsidRPr="00C43C33">
        <w:rPr>
          <w:b/>
          <w:bCs/>
          <w:u w:val="single"/>
        </w:rPr>
        <w:t xml:space="preserve"> </w:t>
      </w:r>
    </w:p>
    <w:p w14:paraId="48DE149F" w14:textId="3A8CC0D5" w:rsidR="00D7366A" w:rsidRDefault="00D7366A" w:rsidP="00B929EB">
      <w:r>
        <w:t>The FIA</w:t>
      </w:r>
      <w:r w:rsidR="00F174BD">
        <w:t xml:space="preserve"> has been a</w:t>
      </w:r>
      <w:r w:rsidR="00A73487">
        <w:t xml:space="preserve"> strong</w:t>
      </w:r>
      <w:r w:rsidR="00F174BD">
        <w:t xml:space="preserve"> advocate for a national </w:t>
      </w:r>
      <w:r w:rsidR="00293C5B">
        <w:t>apprenticeshi</w:t>
      </w:r>
      <w:r w:rsidR="003104DB">
        <w:t>p for Fundraising</w:t>
      </w:r>
      <w:r w:rsidR="00336D2F">
        <w:t xml:space="preserve"> </w:t>
      </w:r>
      <w:r w:rsidR="008A6525">
        <w:t xml:space="preserve">since the establish of the </w:t>
      </w:r>
      <w:r w:rsidR="004A3CB0">
        <w:t>Skilling Australians Fund</w:t>
      </w:r>
      <w:r w:rsidR="008A6525">
        <w:t xml:space="preserve"> (SAF). </w:t>
      </w:r>
      <w:r w:rsidR="003356D3">
        <w:t xml:space="preserve">FIA believes that the VET sector will </w:t>
      </w:r>
      <w:r w:rsidR="00063436">
        <w:t xml:space="preserve">be key to future proofing our economy. FIA believe it is not to late to start future proofing the charity sector </w:t>
      </w:r>
    </w:p>
    <w:p w14:paraId="11CD9D92" w14:textId="1822AA68" w:rsidR="002B7F92" w:rsidRDefault="002B7F92" w:rsidP="00CC3791">
      <w:pPr>
        <w:jc w:val="center"/>
      </w:pPr>
    </w:p>
    <w:p w14:paraId="04F00C63" w14:textId="00A7752E" w:rsidR="002B7F92" w:rsidRDefault="001544F4" w:rsidP="001544F4">
      <w:r>
        <w:t>Policy Recommendation</w:t>
      </w:r>
    </w:p>
    <w:p w14:paraId="14FB520F" w14:textId="4D4268F8" w:rsidR="002B7F92" w:rsidRDefault="00A67D53" w:rsidP="00A67D53">
      <w:pPr>
        <w:pStyle w:val="ListParagraph"/>
        <w:numPr>
          <w:ilvl w:val="0"/>
          <w:numId w:val="3"/>
        </w:numPr>
      </w:pPr>
      <w:r>
        <w:t xml:space="preserve">Implement </w:t>
      </w:r>
      <w:r w:rsidR="009A7A0A">
        <w:t>a</w:t>
      </w:r>
      <w:r w:rsidR="004F79A0">
        <w:t>n</w:t>
      </w:r>
      <w:r w:rsidR="009A7A0A">
        <w:t xml:space="preserve"> </w:t>
      </w:r>
      <w:r w:rsidR="006004DC">
        <w:t xml:space="preserve">apprenticeship incentive from January </w:t>
      </w:r>
      <w:proofErr w:type="gramStart"/>
      <w:r w:rsidR="006004DC">
        <w:t>1</w:t>
      </w:r>
      <w:proofErr w:type="gramEnd"/>
      <w:r w:rsidR="006004DC">
        <w:t xml:space="preserve"> 2021 to June </w:t>
      </w:r>
      <w:r w:rsidR="00A73487">
        <w:t>2021</w:t>
      </w:r>
    </w:p>
    <w:p w14:paraId="210E4E62" w14:textId="77777777" w:rsidR="008770C4" w:rsidRDefault="008770C4" w:rsidP="008770C4">
      <w:pPr>
        <w:rPr>
          <w:b/>
          <w:bCs/>
          <w:u w:val="single"/>
        </w:rPr>
      </w:pPr>
      <w:r w:rsidRPr="00223CF4">
        <w:rPr>
          <w:b/>
          <w:bCs/>
          <w:u w:val="single"/>
        </w:rPr>
        <w:t>Digital Grants Fund</w:t>
      </w:r>
    </w:p>
    <w:p w14:paraId="3CE1C25E" w14:textId="77777777" w:rsidR="008770C4" w:rsidRPr="004645C4" w:rsidRDefault="008770C4" w:rsidP="008770C4">
      <w:r>
        <w:t xml:space="preserve">Digital grants programs can assist charities to access digital technologies and services to help them work smarter, engage with the global and local </w:t>
      </w:r>
      <w:proofErr w:type="gramStart"/>
      <w:r>
        <w:t>economy</w:t>
      </w:r>
      <w:proofErr w:type="gramEnd"/>
      <w:r>
        <w:t xml:space="preserve"> and make the most of online opportunities arising from digital disruption</w:t>
      </w:r>
    </w:p>
    <w:p w14:paraId="3BEA75E7" w14:textId="77777777" w:rsidR="008770C4" w:rsidRDefault="008770C4" w:rsidP="008770C4">
      <w:r w:rsidRPr="00F26363">
        <w:rPr>
          <w:b/>
          <w:bCs/>
          <w:u w:val="single"/>
        </w:rPr>
        <w:t>Reliability of Services</w:t>
      </w:r>
      <w:r>
        <w:t xml:space="preserve"> </w:t>
      </w:r>
      <w:r>
        <w:br/>
      </w:r>
      <w:r w:rsidRPr="0012530B">
        <w:t>Having access to reliable digital services is a fundamental requirement for being able to do business. The ability to run programs, attract donors, access online databases, communicate with customers, and utilise payment platforms such as EFTPOS are just some examples of how digital services play an essential role in effectively operating a charity. Charities are impacted significantly from disruption and often whe</w:t>
      </w:r>
      <w:r>
        <w:t>n the delays are extensive (</w:t>
      </w:r>
      <w:proofErr w:type="spellStart"/>
      <w:r>
        <w:t>I.e</w:t>
      </w:r>
      <w:proofErr w:type="spellEnd"/>
      <w:r>
        <w:t xml:space="preserve"> losses of telephone and or/internet for a number of days) the impact extends beyond the financial cost of being disconnected to affecting relationships with their donors and reputational damage. </w:t>
      </w:r>
    </w:p>
    <w:p w14:paraId="2CB9EC05" w14:textId="4D3E7E12" w:rsidR="008770C4" w:rsidRPr="0012530B" w:rsidRDefault="008770C4" w:rsidP="008770C4">
      <w:r>
        <w:lastRenderedPageBreak/>
        <w:t xml:space="preserve">Through FIA’s consultation with its members, we have received numerous complaints from small charities about disruption to their digital services. Particularly since the COVID-19 pandemic, FIA has seen an increase in complaints being made about digital services to provide greater support and services for charities doing the heavy lifting on behalf of government. </w:t>
      </w:r>
    </w:p>
    <w:p w14:paraId="3A81BFAD" w14:textId="1EA31DA0" w:rsidR="001472C5" w:rsidRDefault="001472C5" w:rsidP="001472C5"/>
    <w:p w14:paraId="72B44B6E" w14:textId="77777777" w:rsidR="001472C5" w:rsidRDefault="001472C5" w:rsidP="001472C5"/>
    <w:p w14:paraId="5981AC1D" w14:textId="5F538F5B" w:rsidR="002B7F92" w:rsidRDefault="002B7F92" w:rsidP="00CC3791">
      <w:pPr>
        <w:jc w:val="center"/>
      </w:pPr>
    </w:p>
    <w:p w14:paraId="23AF803C" w14:textId="08E0F426" w:rsidR="008770C4" w:rsidRDefault="008770C4" w:rsidP="00CC3791">
      <w:pPr>
        <w:jc w:val="center"/>
      </w:pPr>
    </w:p>
    <w:p w14:paraId="39030CE1" w14:textId="7E911EAF" w:rsidR="008770C4" w:rsidRDefault="008770C4" w:rsidP="00CC3791">
      <w:pPr>
        <w:jc w:val="center"/>
      </w:pPr>
    </w:p>
    <w:p w14:paraId="2053131E" w14:textId="390A6213" w:rsidR="008770C4" w:rsidRDefault="008770C4" w:rsidP="00CC3791">
      <w:pPr>
        <w:jc w:val="center"/>
      </w:pPr>
    </w:p>
    <w:p w14:paraId="5E613FDA" w14:textId="53DB7CF0" w:rsidR="008770C4" w:rsidRDefault="008770C4" w:rsidP="00CC3791">
      <w:pPr>
        <w:jc w:val="center"/>
      </w:pPr>
    </w:p>
    <w:p w14:paraId="2654EEDD" w14:textId="5D2580F2" w:rsidR="008770C4" w:rsidRDefault="008770C4" w:rsidP="00CC3791">
      <w:pPr>
        <w:jc w:val="center"/>
      </w:pPr>
    </w:p>
    <w:p w14:paraId="02D0ABEB" w14:textId="77777777" w:rsidR="008770C4" w:rsidRDefault="008770C4" w:rsidP="00CC3791">
      <w:pPr>
        <w:jc w:val="center"/>
      </w:pPr>
    </w:p>
    <w:p w14:paraId="57EB0402" w14:textId="65C9F717" w:rsidR="002B7F92" w:rsidRDefault="002B7F92" w:rsidP="00CC3791">
      <w:pPr>
        <w:jc w:val="center"/>
      </w:pPr>
      <w:r>
        <w:t>References</w:t>
      </w:r>
    </w:p>
    <w:p w14:paraId="101911FD" w14:textId="39077783" w:rsidR="00C57EEF" w:rsidRDefault="001C0215" w:rsidP="00C57EEF">
      <w:pPr>
        <w:pStyle w:val="ListParagraph"/>
        <w:numPr>
          <w:ilvl w:val="0"/>
          <w:numId w:val="1"/>
        </w:numPr>
        <w:jc w:val="center"/>
      </w:pPr>
      <w:hyperlink r:id="rId15" w:history="1">
        <w:r w:rsidR="00C57EEF">
          <w:rPr>
            <w:rStyle w:val="Hyperlink"/>
          </w:rPr>
          <w:t>https://www.thirdsector.co.uk/analysis-charities-evolve-inevitably-shrinking-sector/management/article/1689829</w:t>
        </w:r>
      </w:hyperlink>
    </w:p>
    <w:p w14:paraId="67E4FFE6" w14:textId="6CF8D672" w:rsidR="002B7F92" w:rsidRDefault="001C0215" w:rsidP="00C57EEF">
      <w:pPr>
        <w:pStyle w:val="ListParagraph"/>
        <w:numPr>
          <w:ilvl w:val="0"/>
          <w:numId w:val="1"/>
        </w:numPr>
        <w:jc w:val="center"/>
      </w:pPr>
      <w:hyperlink r:id="rId16" w:history="1">
        <w:r w:rsidR="002B7F92">
          <w:rPr>
            <w:rStyle w:val="Hyperlink"/>
          </w:rPr>
          <w:t>https://www.millsoakley.com.au/thinking/amalgamation-and-mergers-of-not-for-profit-organisations/</w:t>
        </w:r>
      </w:hyperlink>
    </w:p>
    <w:p w14:paraId="2147BDC7" w14:textId="7F896CD4" w:rsidR="00C57EEF" w:rsidRDefault="001C0215" w:rsidP="00C57EEF">
      <w:pPr>
        <w:pStyle w:val="ListParagraph"/>
        <w:numPr>
          <w:ilvl w:val="0"/>
          <w:numId w:val="1"/>
        </w:numPr>
        <w:jc w:val="center"/>
      </w:pPr>
      <w:hyperlink r:id="rId17" w:history="1">
        <w:r w:rsidR="00C57EEF">
          <w:rPr>
            <w:rStyle w:val="Hyperlink"/>
          </w:rPr>
          <w:t>https://www.theguardian.com/voluntary-sector-network/2017/sep/04/charity-mergers-rare-vital-trustees</w:t>
        </w:r>
      </w:hyperlink>
    </w:p>
    <w:p w14:paraId="562106FD" w14:textId="0B271728" w:rsidR="00C57EEF" w:rsidRDefault="001C0215" w:rsidP="00C57EEF">
      <w:pPr>
        <w:pStyle w:val="ListParagraph"/>
        <w:numPr>
          <w:ilvl w:val="0"/>
          <w:numId w:val="1"/>
        </w:numPr>
        <w:jc w:val="center"/>
      </w:pPr>
      <w:hyperlink r:id="rId18" w:history="1">
        <w:r w:rsidR="00C57EEF">
          <w:rPr>
            <w:rStyle w:val="Hyperlink"/>
          </w:rPr>
          <w:t>https://www.theguardian.com/voluntary-sector-network/2016/nov/25/charity-mergers-leaders-trustees-boost-scale</w:t>
        </w:r>
      </w:hyperlink>
    </w:p>
    <w:p w14:paraId="75B0146C" w14:textId="71A9850F" w:rsidR="0024556D" w:rsidRDefault="001C0215" w:rsidP="00C57EEF">
      <w:pPr>
        <w:pStyle w:val="ListParagraph"/>
        <w:numPr>
          <w:ilvl w:val="0"/>
          <w:numId w:val="1"/>
        </w:numPr>
        <w:jc w:val="center"/>
      </w:pPr>
      <w:hyperlink r:id="rId19" w:history="1">
        <w:r w:rsidR="0024556D">
          <w:rPr>
            <w:rStyle w:val="Hyperlink"/>
          </w:rPr>
          <w:t>https://www.acnc.gov.au/node/2526</w:t>
        </w:r>
      </w:hyperlink>
    </w:p>
    <w:p w14:paraId="0F627F32" w14:textId="34F0C426" w:rsidR="0024556D" w:rsidRDefault="0024556D" w:rsidP="00C57EEF">
      <w:pPr>
        <w:pStyle w:val="ListParagraph"/>
        <w:numPr>
          <w:ilvl w:val="0"/>
          <w:numId w:val="1"/>
        </w:numPr>
        <w:jc w:val="center"/>
      </w:pPr>
    </w:p>
    <w:sectPr w:rsidR="0024556D">
      <w:headerReference w:type="default" r:id="rId2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Blake Tierney" w:date="2020-08-14T14:16:00Z" w:initials="BT">
    <w:p w14:paraId="622DC8DA" w14:textId="77777777" w:rsidR="00B57A58" w:rsidRDefault="00B57A58" w:rsidP="00B57A58">
      <w:pPr>
        <w:pStyle w:val="CommentText"/>
      </w:pPr>
      <w:r>
        <w:rPr>
          <w:rStyle w:val="CommentReference"/>
        </w:rPr>
        <w:annotationRef/>
      </w:r>
      <w:r>
        <w:t>I need to speak to Karen about this more</w:t>
      </w:r>
    </w:p>
  </w:comment>
  <w:comment w:id="1" w:author="Blake Tierney" w:date="2020-08-14T14:16:00Z" w:initials="BT">
    <w:p w14:paraId="48543CDC" w14:textId="5DB7E920" w:rsidR="001472C5" w:rsidRDefault="001472C5">
      <w:pPr>
        <w:pStyle w:val="CommentText"/>
      </w:pPr>
      <w:r>
        <w:rPr>
          <w:rStyle w:val="CommentReference"/>
        </w:rPr>
        <w:annotationRef/>
      </w:r>
      <w:r>
        <w:t>I need to speak to Karen about this</w:t>
      </w:r>
      <w:r w:rsidR="008770C4">
        <w:t xml:space="preserve"> more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22DC8DA" w15:done="0"/>
  <w15:commentEx w15:paraId="48543C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134BB" w16cex:dateUtc="2020-08-14T04:16:00Z"/>
  <w16cex:commentExtensible w16cex:durableId="22E11B2A" w16cex:dateUtc="2020-08-14T04: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2DC8DA" w16cid:durableId="22E134BB"/>
  <w16cid:commentId w16cid:paraId="48543CDC" w16cid:durableId="22E11B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0A145" w14:textId="77777777" w:rsidR="009301C4" w:rsidRDefault="009301C4" w:rsidP="00CC3791">
      <w:pPr>
        <w:spacing w:after="0" w:line="240" w:lineRule="auto"/>
      </w:pPr>
      <w:r>
        <w:separator/>
      </w:r>
    </w:p>
  </w:endnote>
  <w:endnote w:type="continuationSeparator" w:id="0">
    <w:p w14:paraId="758E0C7E" w14:textId="77777777" w:rsidR="009301C4" w:rsidRDefault="009301C4" w:rsidP="00CC3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F42D2" w14:textId="77777777" w:rsidR="009301C4" w:rsidRDefault="009301C4" w:rsidP="00CC3791">
      <w:pPr>
        <w:spacing w:after="0" w:line="240" w:lineRule="auto"/>
      </w:pPr>
      <w:r>
        <w:separator/>
      </w:r>
    </w:p>
  </w:footnote>
  <w:footnote w:type="continuationSeparator" w:id="0">
    <w:p w14:paraId="6EA4F52A" w14:textId="77777777" w:rsidR="009301C4" w:rsidRDefault="009301C4" w:rsidP="00CC3791">
      <w:pPr>
        <w:spacing w:after="0" w:line="240" w:lineRule="auto"/>
      </w:pPr>
      <w:r>
        <w:continuationSeparator/>
      </w:r>
    </w:p>
  </w:footnote>
  <w:footnote w:id="1">
    <w:p w14:paraId="4B0F7F1C" w14:textId="6EB96960" w:rsidR="00CC3791" w:rsidRDefault="00CC3791">
      <w:pPr>
        <w:pStyle w:val="FootnoteText"/>
      </w:pPr>
      <w:r>
        <w:rPr>
          <w:rStyle w:val="FootnoteReference"/>
        </w:rPr>
        <w:footnoteRef/>
      </w:r>
      <w:r>
        <w:t xml:space="preserve"> </w:t>
      </w:r>
      <w:hyperlink r:id="rId1" w:history="1">
        <w:r w:rsidRPr="00712C34">
          <w:rPr>
            <w:rStyle w:val="Hyperlink"/>
          </w:rPr>
          <w:t>https://www.acnc.gov.au/tools/reports/australian-charities-report-2017</w:t>
        </w:r>
      </w:hyperlink>
    </w:p>
    <w:p w14:paraId="165232C1" w14:textId="77777777" w:rsidR="00CC3791" w:rsidRDefault="00CC379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96762" w14:textId="43FDCD84" w:rsidR="00CC3791" w:rsidRDefault="00CC3791" w:rsidP="00CC3791">
    <w:pPr>
      <w:pStyle w:val="Header"/>
      <w:jc w:val="right"/>
    </w:pPr>
    <w:r>
      <w:rPr>
        <w:noProof/>
      </w:rPr>
      <w:drawing>
        <wp:inline distT="0" distB="0" distL="0" distR="0" wp14:anchorId="7AC20E5A" wp14:editId="1D8DA9A3">
          <wp:extent cx="1460060" cy="895350"/>
          <wp:effectExtent l="0" t="0" r="698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79b38efeb7596477e07246f7a0f6e59c0588f738a81597ae7427d82d17954ce.jpg"/>
                  <pic:cNvPicPr/>
                </pic:nvPicPr>
                <pic:blipFill>
                  <a:blip r:embed="rId1">
                    <a:extLst>
                      <a:ext uri="{28A0092B-C50C-407E-A947-70E740481C1C}">
                        <a14:useLocalDpi xmlns:a14="http://schemas.microsoft.com/office/drawing/2010/main" val="0"/>
                      </a:ext>
                    </a:extLst>
                  </a:blip>
                  <a:stretch>
                    <a:fillRect/>
                  </a:stretch>
                </pic:blipFill>
                <pic:spPr>
                  <a:xfrm>
                    <a:off x="0" y="0"/>
                    <a:ext cx="1481471" cy="908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904D5"/>
    <w:multiLevelType w:val="hybridMultilevel"/>
    <w:tmpl w:val="53D80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A40B06"/>
    <w:multiLevelType w:val="hybridMultilevel"/>
    <w:tmpl w:val="4368523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CAC5844"/>
    <w:multiLevelType w:val="hybridMultilevel"/>
    <w:tmpl w:val="F4002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DE0455"/>
    <w:multiLevelType w:val="hybridMultilevel"/>
    <w:tmpl w:val="B91E65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CF249E6"/>
    <w:multiLevelType w:val="hybridMultilevel"/>
    <w:tmpl w:val="7E1C5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lake Tierney">
    <w15:presenceInfo w15:providerId="AD" w15:userId="S::btierney@fia.org.au::6543667c-c1ed-4d5f-bb42-ee9f60b78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791"/>
    <w:rsid w:val="00012FB4"/>
    <w:rsid w:val="0001429C"/>
    <w:rsid w:val="00044A27"/>
    <w:rsid w:val="00053ED5"/>
    <w:rsid w:val="00063436"/>
    <w:rsid w:val="000855DF"/>
    <w:rsid w:val="00090843"/>
    <w:rsid w:val="000B02E9"/>
    <w:rsid w:val="000E2E2F"/>
    <w:rsid w:val="000E78DD"/>
    <w:rsid w:val="001073AF"/>
    <w:rsid w:val="001100D5"/>
    <w:rsid w:val="0012530B"/>
    <w:rsid w:val="001472C5"/>
    <w:rsid w:val="001544F4"/>
    <w:rsid w:val="00161723"/>
    <w:rsid w:val="00186FD7"/>
    <w:rsid w:val="001C0215"/>
    <w:rsid w:val="001E7601"/>
    <w:rsid w:val="001E7EAD"/>
    <w:rsid w:val="002109A1"/>
    <w:rsid w:val="00222551"/>
    <w:rsid w:val="00223CF4"/>
    <w:rsid w:val="00240E20"/>
    <w:rsid w:val="0024556D"/>
    <w:rsid w:val="00261710"/>
    <w:rsid w:val="002869D4"/>
    <w:rsid w:val="00293C5B"/>
    <w:rsid w:val="002B7F92"/>
    <w:rsid w:val="002F0D93"/>
    <w:rsid w:val="003104DB"/>
    <w:rsid w:val="00334880"/>
    <w:rsid w:val="003356D3"/>
    <w:rsid w:val="00336D2F"/>
    <w:rsid w:val="003535A7"/>
    <w:rsid w:val="004523FD"/>
    <w:rsid w:val="00456103"/>
    <w:rsid w:val="004645C4"/>
    <w:rsid w:val="004802D3"/>
    <w:rsid w:val="004A3CB0"/>
    <w:rsid w:val="004B0240"/>
    <w:rsid w:val="004D07BC"/>
    <w:rsid w:val="004E7D27"/>
    <w:rsid w:val="004F79A0"/>
    <w:rsid w:val="00527C0A"/>
    <w:rsid w:val="00533D31"/>
    <w:rsid w:val="00566391"/>
    <w:rsid w:val="00577338"/>
    <w:rsid w:val="0058615D"/>
    <w:rsid w:val="005948FB"/>
    <w:rsid w:val="005D06DB"/>
    <w:rsid w:val="006004DC"/>
    <w:rsid w:val="00641D7C"/>
    <w:rsid w:val="00664DF2"/>
    <w:rsid w:val="006D37E4"/>
    <w:rsid w:val="006F218D"/>
    <w:rsid w:val="006F4C6A"/>
    <w:rsid w:val="006F7019"/>
    <w:rsid w:val="0073109C"/>
    <w:rsid w:val="00771237"/>
    <w:rsid w:val="0079508E"/>
    <w:rsid w:val="00875BBD"/>
    <w:rsid w:val="008770C4"/>
    <w:rsid w:val="008823E1"/>
    <w:rsid w:val="00883395"/>
    <w:rsid w:val="008A28E3"/>
    <w:rsid w:val="008A6525"/>
    <w:rsid w:val="008C09FF"/>
    <w:rsid w:val="008F0564"/>
    <w:rsid w:val="009301C4"/>
    <w:rsid w:val="009659FA"/>
    <w:rsid w:val="00981144"/>
    <w:rsid w:val="009859DD"/>
    <w:rsid w:val="009A30BA"/>
    <w:rsid w:val="009A7A0A"/>
    <w:rsid w:val="009B067C"/>
    <w:rsid w:val="009B0B8B"/>
    <w:rsid w:val="009D429A"/>
    <w:rsid w:val="009E1865"/>
    <w:rsid w:val="00A267D7"/>
    <w:rsid w:val="00A270B3"/>
    <w:rsid w:val="00A60DC4"/>
    <w:rsid w:val="00A67D53"/>
    <w:rsid w:val="00A73487"/>
    <w:rsid w:val="00A84C01"/>
    <w:rsid w:val="00A95F9D"/>
    <w:rsid w:val="00AD291C"/>
    <w:rsid w:val="00AE4D1F"/>
    <w:rsid w:val="00B03F7B"/>
    <w:rsid w:val="00B34FCA"/>
    <w:rsid w:val="00B41842"/>
    <w:rsid w:val="00B57A58"/>
    <w:rsid w:val="00B63EA1"/>
    <w:rsid w:val="00B929EB"/>
    <w:rsid w:val="00BC0F15"/>
    <w:rsid w:val="00BE4D1D"/>
    <w:rsid w:val="00C43C33"/>
    <w:rsid w:val="00C57EEF"/>
    <w:rsid w:val="00CC3791"/>
    <w:rsid w:val="00CE76F9"/>
    <w:rsid w:val="00D04607"/>
    <w:rsid w:val="00D07BD7"/>
    <w:rsid w:val="00D459B8"/>
    <w:rsid w:val="00D652C9"/>
    <w:rsid w:val="00D7366A"/>
    <w:rsid w:val="00E7365E"/>
    <w:rsid w:val="00E9018A"/>
    <w:rsid w:val="00E905CF"/>
    <w:rsid w:val="00E96A75"/>
    <w:rsid w:val="00EB7A48"/>
    <w:rsid w:val="00F070A2"/>
    <w:rsid w:val="00F174BD"/>
    <w:rsid w:val="00F26363"/>
    <w:rsid w:val="00F444EB"/>
    <w:rsid w:val="00F50D75"/>
    <w:rsid w:val="00F72AA0"/>
    <w:rsid w:val="00F96BC8"/>
    <w:rsid w:val="00FA71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78D163"/>
  <w15:chartTrackingRefBased/>
  <w15:docId w15:val="{F9BAE749-3527-4991-B585-849292DF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7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791"/>
  </w:style>
  <w:style w:type="paragraph" w:styleId="Footer">
    <w:name w:val="footer"/>
    <w:basedOn w:val="Normal"/>
    <w:link w:val="FooterChar"/>
    <w:uiPriority w:val="99"/>
    <w:unhideWhenUsed/>
    <w:rsid w:val="00CC3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791"/>
  </w:style>
  <w:style w:type="paragraph" w:styleId="FootnoteText">
    <w:name w:val="footnote text"/>
    <w:basedOn w:val="Normal"/>
    <w:link w:val="FootnoteTextChar"/>
    <w:uiPriority w:val="99"/>
    <w:semiHidden/>
    <w:unhideWhenUsed/>
    <w:rsid w:val="00CC37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3791"/>
    <w:rPr>
      <w:sz w:val="20"/>
      <w:szCs w:val="20"/>
    </w:rPr>
  </w:style>
  <w:style w:type="character" w:styleId="FootnoteReference">
    <w:name w:val="footnote reference"/>
    <w:basedOn w:val="DefaultParagraphFont"/>
    <w:uiPriority w:val="99"/>
    <w:semiHidden/>
    <w:unhideWhenUsed/>
    <w:rsid w:val="00CC3791"/>
    <w:rPr>
      <w:vertAlign w:val="superscript"/>
    </w:rPr>
  </w:style>
  <w:style w:type="character" w:styleId="Hyperlink">
    <w:name w:val="Hyperlink"/>
    <w:basedOn w:val="DefaultParagraphFont"/>
    <w:uiPriority w:val="99"/>
    <w:unhideWhenUsed/>
    <w:rsid w:val="00CC3791"/>
    <w:rPr>
      <w:color w:val="0563C1" w:themeColor="hyperlink"/>
      <w:u w:val="single"/>
    </w:rPr>
  </w:style>
  <w:style w:type="character" w:styleId="UnresolvedMention">
    <w:name w:val="Unresolved Mention"/>
    <w:basedOn w:val="DefaultParagraphFont"/>
    <w:uiPriority w:val="99"/>
    <w:semiHidden/>
    <w:unhideWhenUsed/>
    <w:rsid w:val="00CC3791"/>
    <w:rPr>
      <w:color w:val="605E5C"/>
      <w:shd w:val="clear" w:color="auto" w:fill="E1DFDD"/>
    </w:rPr>
  </w:style>
  <w:style w:type="paragraph" w:styleId="ListParagraph">
    <w:name w:val="List Paragraph"/>
    <w:basedOn w:val="Normal"/>
    <w:uiPriority w:val="34"/>
    <w:qFormat/>
    <w:rsid w:val="00C57EEF"/>
    <w:pPr>
      <w:ind w:left="720"/>
      <w:contextualSpacing/>
    </w:pPr>
  </w:style>
  <w:style w:type="character" w:styleId="FollowedHyperlink">
    <w:name w:val="FollowedHyperlink"/>
    <w:basedOn w:val="DefaultParagraphFont"/>
    <w:uiPriority w:val="99"/>
    <w:semiHidden/>
    <w:unhideWhenUsed/>
    <w:rsid w:val="004D07BC"/>
    <w:rPr>
      <w:color w:val="954F72" w:themeColor="followedHyperlink"/>
      <w:u w:val="single"/>
    </w:rPr>
  </w:style>
  <w:style w:type="character" w:styleId="CommentReference">
    <w:name w:val="annotation reference"/>
    <w:basedOn w:val="DefaultParagraphFont"/>
    <w:uiPriority w:val="99"/>
    <w:semiHidden/>
    <w:unhideWhenUsed/>
    <w:rsid w:val="001472C5"/>
    <w:rPr>
      <w:sz w:val="16"/>
      <w:szCs w:val="16"/>
    </w:rPr>
  </w:style>
  <w:style w:type="paragraph" w:styleId="CommentText">
    <w:name w:val="annotation text"/>
    <w:basedOn w:val="Normal"/>
    <w:link w:val="CommentTextChar"/>
    <w:uiPriority w:val="99"/>
    <w:semiHidden/>
    <w:unhideWhenUsed/>
    <w:rsid w:val="001472C5"/>
    <w:pPr>
      <w:spacing w:line="240" w:lineRule="auto"/>
    </w:pPr>
    <w:rPr>
      <w:sz w:val="20"/>
      <w:szCs w:val="20"/>
    </w:rPr>
  </w:style>
  <w:style w:type="character" w:customStyle="1" w:styleId="CommentTextChar">
    <w:name w:val="Comment Text Char"/>
    <w:basedOn w:val="DefaultParagraphFont"/>
    <w:link w:val="CommentText"/>
    <w:uiPriority w:val="99"/>
    <w:semiHidden/>
    <w:rsid w:val="001472C5"/>
    <w:rPr>
      <w:sz w:val="20"/>
      <w:szCs w:val="20"/>
    </w:rPr>
  </w:style>
  <w:style w:type="paragraph" w:styleId="CommentSubject">
    <w:name w:val="annotation subject"/>
    <w:basedOn w:val="CommentText"/>
    <w:next w:val="CommentText"/>
    <w:link w:val="CommentSubjectChar"/>
    <w:uiPriority w:val="99"/>
    <w:semiHidden/>
    <w:unhideWhenUsed/>
    <w:rsid w:val="001472C5"/>
    <w:rPr>
      <w:b/>
      <w:bCs/>
    </w:rPr>
  </w:style>
  <w:style w:type="character" w:customStyle="1" w:styleId="CommentSubjectChar">
    <w:name w:val="Comment Subject Char"/>
    <w:basedOn w:val="CommentTextChar"/>
    <w:link w:val="CommentSubject"/>
    <w:uiPriority w:val="99"/>
    <w:semiHidden/>
    <w:rsid w:val="001472C5"/>
    <w:rPr>
      <w:b/>
      <w:bCs/>
      <w:sz w:val="20"/>
      <w:szCs w:val="20"/>
    </w:rPr>
  </w:style>
  <w:style w:type="paragraph" w:styleId="BalloonText">
    <w:name w:val="Balloon Text"/>
    <w:basedOn w:val="Normal"/>
    <w:link w:val="BalloonTextChar"/>
    <w:uiPriority w:val="99"/>
    <w:semiHidden/>
    <w:unhideWhenUsed/>
    <w:rsid w:val="00147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2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www.theguardian.com/voluntary-sector-network/2016/nov/25/charity-mergers-leaders-trustees-boost-scal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theguardian.com/voluntary-sector-network/2017/sep/04/charity-mergers-rare-vital-trustees" TargetMode="External"/><Relationship Id="rId2" Type="http://schemas.openxmlformats.org/officeDocument/2006/relationships/customXml" Target="../customXml/item2.xml"/><Relationship Id="rId16" Type="http://schemas.openxmlformats.org/officeDocument/2006/relationships/hyperlink" Target="https://www.millsoakley.com.au/thinking/amalgamation-and-mergers-of-not-for-profit-organisa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www.thirdsector.co.uk/analysis-charities-evolve-inevitably-shrinking-sector/management/article/1689829"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cnc.gov.au/node/252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acnc.gov.au/tools/reports/australian-charities-report-20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5929D12F1F3247A891BB0120A9A8A5" ma:contentTypeVersion="11" ma:contentTypeDescription="Create a new document." ma:contentTypeScope="" ma:versionID="fbd61f6f70b54a1604cea5cbd1790ee5">
  <xsd:schema xmlns:xsd="http://www.w3.org/2001/XMLSchema" xmlns:xs="http://www.w3.org/2001/XMLSchema" xmlns:p="http://schemas.microsoft.com/office/2006/metadata/properties" xmlns:ns2="b48b307d-89b4-4c4d-8849-c3940b0b484a" xmlns:ns3="8702683b-2f29-4b9e-9823-3aae14fa044d" targetNamespace="http://schemas.microsoft.com/office/2006/metadata/properties" ma:root="true" ma:fieldsID="9ca1229bb89b917271682a3e6d92c6d1" ns2:_="" ns3:_="">
    <xsd:import namespace="b48b307d-89b4-4c4d-8849-c3940b0b484a"/>
    <xsd:import namespace="8702683b-2f29-4b9e-9823-3aae14fa04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b307d-89b4-4c4d-8849-c3940b0b48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02683b-2f29-4b9e-9823-3aae14fa044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702683b-2f29-4b9e-9823-3aae14fa044d">
      <UserInfo>
        <DisplayName>Katherine Raskob</DisplayName>
        <AccountId>85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E82FA8-19D7-4BBD-A9BB-E129A7FDF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b307d-89b4-4c4d-8849-c3940b0b484a"/>
    <ds:schemaRef ds:uri="8702683b-2f29-4b9e-9823-3aae14fa0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2CDF99-9891-470D-B3F0-0F013DF3BD32}">
  <ds:schemaRefs>
    <ds:schemaRef ds:uri="http://schemas.openxmlformats.org/officeDocument/2006/bibliography"/>
  </ds:schemaRefs>
</ds:datastoreItem>
</file>

<file path=customXml/itemProps3.xml><?xml version="1.0" encoding="utf-8"?>
<ds:datastoreItem xmlns:ds="http://schemas.openxmlformats.org/officeDocument/2006/customXml" ds:itemID="{4F35A20F-851F-4E44-B7B2-6F1E204007B6}">
  <ds:schemaRefs>
    <ds:schemaRef ds:uri="http://schemas.microsoft.com/office/2006/metadata/properties"/>
    <ds:schemaRef ds:uri="http://schemas.microsoft.com/office/infopath/2007/PartnerControls"/>
    <ds:schemaRef ds:uri="8702683b-2f29-4b9e-9823-3aae14fa044d"/>
  </ds:schemaRefs>
</ds:datastoreItem>
</file>

<file path=customXml/itemProps4.xml><?xml version="1.0" encoding="utf-8"?>
<ds:datastoreItem xmlns:ds="http://schemas.openxmlformats.org/officeDocument/2006/customXml" ds:itemID="{E47E5546-034B-4816-A09A-2BCF03619B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5</Pages>
  <Words>1557</Words>
  <Characters>8876</Characters>
  <Application>Microsoft Office Word</Application>
  <DocSecurity>0</DocSecurity>
  <Lines>73</Lines>
  <Paragraphs>20</Paragraphs>
  <ScaleCrop>false</ScaleCrop>
  <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Tierney</dc:creator>
  <cp:keywords/>
  <dc:description/>
  <cp:lastModifiedBy>Blake Tierney</cp:lastModifiedBy>
  <cp:revision>115</cp:revision>
  <dcterms:created xsi:type="dcterms:W3CDTF">2020-08-11T04:29:00Z</dcterms:created>
  <dcterms:modified xsi:type="dcterms:W3CDTF">2020-08-14T07:08:00Z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0x010100135929D12F1F3247A891BB0120A9A8A5</vt:lpwstr>
  </property>
</Properties>
</file>